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A840" w14:textId="5ECE673E" w:rsidR="000E2485" w:rsidRPr="00803B45" w:rsidRDefault="000E2485" w:rsidP="000E2485">
      <w:pPr>
        <w:spacing w:after="150"/>
        <w:ind w:firstLine="450"/>
        <w:jc w:val="both"/>
        <w:rPr>
          <w:b/>
          <w:color w:val="000000"/>
          <w:sz w:val="22"/>
          <w:szCs w:val="22"/>
          <w:u w:val="single"/>
          <w:lang w:val="ru-RU"/>
        </w:rPr>
      </w:pPr>
      <w:r w:rsidRPr="00B85D76">
        <w:rPr>
          <w:b/>
          <w:color w:val="000000"/>
          <w:sz w:val="22"/>
          <w:szCs w:val="22"/>
          <w:u w:val="single"/>
        </w:rPr>
        <w:t>Проекти рішень з питань, включених до порядку денного загальних зборів:</w:t>
      </w:r>
      <w:r w:rsidR="00803B45">
        <w:rPr>
          <w:b/>
          <w:color w:val="000000"/>
          <w:sz w:val="22"/>
          <w:szCs w:val="22"/>
          <w:u w:val="single"/>
          <w:lang w:val="ru-RU"/>
        </w:rPr>
        <w:t xml:space="preserve">  </w:t>
      </w:r>
      <w:r w:rsidR="00064C70">
        <w:rPr>
          <w:b/>
          <w:color w:val="000000"/>
          <w:sz w:val="22"/>
          <w:szCs w:val="22"/>
          <w:u w:val="single"/>
          <w:lang w:val="ru-RU"/>
        </w:rPr>
        <w:t xml:space="preserve">  </w:t>
      </w:r>
      <w:bookmarkStart w:id="0" w:name="_GoBack"/>
      <w:bookmarkEnd w:id="0"/>
    </w:p>
    <w:p w14:paraId="1B7ED5D8" w14:textId="77777777" w:rsidR="00C257D4" w:rsidRPr="005E248B" w:rsidRDefault="00C257D4" w:rsidP="00C257D4">
      <w:pPr>
        <w:tabs>
          <w:tab w:val="left" w:pos="0"/>
          <w:tab w:val="left" w:pos="567"/>
        </w:tabs>
        <w:ind w:firstLine="454"/>
        <w:rPr>
          <w:sz w:val="20"/>
          <w:szCs w:val="20"/>
        </w:rPr>
      </w:pPr>
      <w:r w:rsidRPr="005E248B">
        <w:rPr>
          <w:sz w:val="20"/>
          <w:szCs w:val="20"/>
        </w:rPr>
        <w:t xml:space="preserve">1.Обрання голови  та членів лічильної комісії, прийняття рішень про припинення їх повноважень. </w:t>
      </w:r>
    </w:p>
    <w:p w14:paraId="6BDE8992" w14:textId="77777777" w:rsidR="00C257D4" w:rsidRPr="005E248B" w:rsidRDefault="00C257D4" w:rsidP="00C257D4">
      <w:pPr>
        <w:tabs>
          <w:tab w:val="left" w:pos="0"/>
          <w:tab w:val="left" w:pos="567"/>
        </w:tabs>
        <w:rPr>
          <w:sz w:val="20"/>
          <w:szCs w:val="20"/>
        </w:rPr>
      </w:pPr>
      <w:r w:rsidRPr="005E248B">
        <w:rPr>
          <w:sz w:val="20"/>
          <w:szCs w:val="20"/>
        </w:rPr>
        <w:tab/>
      </w:r>
      <w:r w:rsidRPr="005E248B">
        <w:rPr>
          <w:b/>
          <w:i/>
          <w:sz w:val="20"/>
          <w:szCs w:val="20"/>
        </w:rPr>
        <w:t xml:space="preserve">Проект рішення: </w:t>
      </w:r>
      <w:r w:rsidRPr="005E248B">
        <w:rPr>
          <w:sz w:val="20"/>
          <w:szCs w:val="20"/>
        </w:rPr>
        <w:t xml:space="preserve">Обрати лічильну комісію у кількості двох осіб – Голова лічильної комісії Ніколаєва Валентина Трохимівна, Член лічильної комісії – </w:t>
      </w:r>
      <w:r w:rsidRPr="005E248B">
        <w:rPr>
          <w:iCs/>
          <w:sz w:val="20"/>
          <w:szCs w:val="20"/>
        </w:rPr>
        <w:t>Щербаков Микола Іванович</w:t>
      </w:r>
      <w:r w:rsidRPr="005E248B">
        <w:rPr>
          <w:sz w:val="20"/>
          <w:szCs w:val="20"/>
        </w:rPr>
        <w:t>. Припинити повноваження лічильної комісії по закінченню позачергових загальних зборів.</w:t>
      </w:r>
    </w:p>
    <w:p w14:paraId="53509887" w14:textId="77777777" w:rsidR="00C257D4" w:rsidRPr="005E248B" w:rsidRDefault="00C257D4" w:rsidP="00C257D4">
      <w:pPr>
        <w:tabs>
          <w:tab w:val="left" w:pos="0"/>
          <w:tab w:val="left" w:pos="567"/>
        </w:tabs>
        <w:rPr>
          <w:sz w:val="20"/>
          <w:szCs w:val="20"/>
        </w:rPr>
      </w:pPr>
      <w:r w:rsidRPr="005E248B">
        <w:rPr>
          <w:sz w:val="20"/>
          <w:szCs w:val="20"/>
        </w:rPr>
        <w:tab/>
        <w:t>2. Обрання голови та секретаря загальних зборів.</w:t>
      </w:r>
    </w:p>
    <w:p w14:paraId="55F861DC" w14:textId="77777777" w:rsidR="00C257D4" w:rsidRPr="005E248B" w:rsidRDefault="00C257D4" w:rsidP="00C257D4">
      <w:pPr>
        <w:tabs>
          <w:tab w:val="left" w:pos="0"/>
          <w:tab w:val="left" w:pos="567"/>
        </w:tabs>
        <w:rPr>
          <w:sz w:val="20"/>
          <w:szCs w:val="20"/>
        </w:rPr>
      </w:pPr>
      <w:r w:rsidRPr="005E248B">
        <w:rPr>
          <w:sz w:val="20"/>
          <w:szCs w:val="20"/>
        </w:rPr>
        <w:tab/>
      </w:r>
      <w:r w:rsidRPr="005E248B">
        <w:rPr>
          <w:b/>
          <w:i/>
          <w:sz w:val="20"/>
          <w:szCs w:val="20"/>
        </w:rPr>
        <w:t xml:space="preserve">Проект рішення: </w:t>
      </w:r>
      <w:r w:rsidRPr="005E248B">
        <w:rPr>
          <w:sz w:val="20"/>
          <w:szCs w:val="20"/>
        </w:rPr>
        <w:t>Обрати головою загальних зборів акціонерів Литвиненка Андрія Леонідовича, секретарем Журавель Олександра Григоровича.</w:t>
      </w:r>
    </w:p>
    <w:p w14:paraId="34CF2790" w14:textId="77777777" w:rsidR="00C257D4" w:rsidRPr="005E248B" w:rsidRDefault="00C257D4" w:rsidP="00C257D4">
      <w:pPr>
        <w:tabs>
          <w:tab w:val="left" w:pos="0"/>
          <w:tab w:val="left" w:pos="567"/>
        </w:tabs>
        <w:rPr>
          <w:sz w:val="20"/>
          <w:szCs w:val="20"/>
        </w:rPr>
      </w:pPr>
      <w:r w:rsidRPr="005E248B">
        <w:rPr>
          <w:sz w:val="20"/>
          <w:szCs w:val="20"/>
        </w:rPr>
        <w:tab/>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14:paraId="0A2D95B5" w14:textId="77777777" w:rsidR="00C257D4" w:rsidRPr="005E248B" w:rsidRDefault="00C257D4" w:rsidP="00C257D4">
      <w:pPr>
        <w:tabs>
          <w:tab w:val="left" w:pos="0"/>
          <w:tab w:val="left" w:pos="567"/>
        </w:tabs>
        <w:rPr>
          <w:sz w:val="20"/>
          <w:szCs w:val="20"/>
        </w:rPr>
      </w:pPr>
      <w:r w:rsidRPr="005E248B">
        <w:rPr>
          <w:sz w:val="20"/>
          <w:szCs w:val="20"/>
        </w:rPr>
        <w:tab/>
      </w:r>
      <w:r w:rsidRPr="005E248B">
        <w:rPr>
          <w:sz w:val="20"/>
          <w:szCs w:val="20"/>
        </w:rPr>
        <w:tab/>
      </w:r>
      <w:r w:rsidRPr="005E248B">
        <w:rPr>
          <w:b/>
          <w:i/>
          <w:sz w:val="20"/>
          <w:szCs w:val="20"/>
        </w:rPr>
        <w:t xml:space="preserve">Проект рішення: </w:t>
      </w:r>
      <w:r w:rsidRPr="005E248B">
        <w:rPr>
          <w:sz w:val="20"/>
          <w:szCs w:val="20"/>
        </w:rPr>
        <w:t>Затвердити наступний регламент проведення загальних зборів:</w:t>
      </w:r>
    </w:p>
    <w:p w14:paraId="11D504CB" w14:textId="77777777" w:rsidR="00C257D4" w:rsidRPr="005E248B" w:rsidRDefault="00C257D4" w:rsidP="00C257D4">
      <w:pPr>
        <w:ind w:firstLine="709"/>
        <w:rPr>
          <w:sz w:val="20"/>
          <w:szCs w:val="20"/>
        </w:rPr>
      </w:pPr>
      <w:r w:rsidRPr="005E248B">
        <w:rPr>
          <w:sz w:val="20"/>
          <w:szCs w:val="20"/>
        </w:rPr>
        <w:t>- доповіді – до 10 хв.</w:t>
      </w:r>
    </w:p>
    <w:p w14:paraId="34259087" w14:textId="77777777" w:rsidR="00C257D4" w:rsidRPr="005E248B" w:rsidRDefault="00C257D4" w:rsidP="00C257D4">
      <w:pPr>
        <w:ind w:firstLine="709"/>
        <w:rPr>
          <w:sz w:val="20"/>
          <w:szCs w:val="20"/>
        </w:rPr>
      </w:pPr>
      <w:r w:rsidRPr="005E248B">
        <w:rPr>
          <w:sz w:val="20"/>
          <w:szCs w:val="20"/>
        </w:rPr>
        <w:t xml:space="preserve">- виступи – до 5 хв. </w:t>
      </w:r>
    </w:p>
    <w:p w14:paraId="20264809" w14:textId="77777777" w:rsidR="00C257D4" w:rsidRPr="005E248B" w:rsidRDefault="00C257D4" w:rsidP="00C257D4">
      <w:pPr>
        <w:ind w:firstLine="720"/>
        <w:rPr>
          <w:sz w:val="20"/>
          <w:szCs w:val="20"/>
        </w:rPr>
      </w:pPr>
      <w:r w:rsidRPr="005E248B">
        <w:rPr>
          <w:sz w:val="20"/>
          <w:szCs w:val="20"/>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77A65590" w14:textId="77777777" w:rsidR="00C257D4" w:rsidRPr="005E248B" w:rsidRDefault="00C257D4" w:rsidP="00C257D4">
      <w:pPr>
        <w:rPr>
          <w:sz w:val="20"/>
          <w:szCs w:val="20"/>
        </w:rPr>
      </w:pPr>
      <w:r w:rsidRPr="005E248B">
        <w:rPr>
          <w:sz w:val="20"/>
          <w:szCs w:val="20"/>
        </w:rPr>
        <w:t xml:space="preserve">         Одна голосуюча акція надає акціонеру один голос для вирішення кожного з переліку питань, що виносяться на голосування. </w:t>
      </w:r>
    </w:p>
    <w:p w14:paraId="432D5C6A" w14:textId="77777777" w:rsidR="00C257D4" w:rsidRPr="005E248B" w:rsidRDefault="00C257D4" w:rsidP="00C257D4">
      <w:pPr>
        <w:rPr>
          <w:sz w:val="20"/>
          <w:szCs w:val="20"/>
        </w:rPr>
      </w:pPr>
      <w:r w:rsidRPr="005E248B">
        <w:rPr>
          <w:sz w:val="20"/>
          <w:szCs w:val="20"/>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3E3F25F3" w14:textId="77777777" w:rsidR="00C257D4" w:rsidRPr="005E248B" w:rsidRDefault="00C257D4" w:rsidP="00C257D4">
      <w:pPr>
        <w:rPr>
          <w:sz w:val="20"/>
          <w:szCs w:val="20"/>
        </w:rPr>
      </w:pPr>
      <w:r w:rsidRPr="005E248B">
        <w:rPr>
          <w:sz w:val="20"/>
          <w:szCs w:val="20"/>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14:paraId="179FB425" w14:textId="77777777" w:rsidR="00C257D4" w:rsidRPr="005E248B" w:rsidRDefault="00C257D4" w:rsidP="00C257D4">
      <w:pPr>
        <w:rPr>
          <w:sz w:val="20"/>
          <w:szCs w:val="20"/>
        </w:rPr>
      </w:pPr>
      <w:r w:rsidRPr="005E248B">
        <w:rPr>
          <w:sz w:val="20"/>
          <w:szCs w:val="20"/>
        </w:rPr>
        <w:t xml:space="preserve">         Будь-який акціонер може взяти участь у виступах, зауваженнях, уточненнях тільки з того питання, яке обговорюється. </w:t>
      </w:r>
    </w:p>
    <w:p w14:paraId="64CEB340" w14:textId="77777777" w:rsidR="00C257D4" w:rsidRPr="005E248B" w:rsidRDefault="00C257D4" w:rsidP="00C257D4">
      <w:pPr>
        <w:tabs>
          <w:tab w:val="left" w:pos="0"/>
        </w:tabs>
        <w:rPr>
          <w:sz w:val="20"/>
          <w:szCs w:val="20"/>
        </w:rPr>
      </w:pPr>
      <w:r w:rsidRPr="005E248B">
        <w:rPr>
          <w:sz w:val="20"/>
          <w:szCs w:val="20"/>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14:paraId="68BF86D9" w14:textId="77777777" w:rsidR="00C257D4" w:rsidRPr="005E248B" w:rsidRDefault="00C257D4" w:rsidP="00C257D4">
      <w:pPr>
        <w:pStyle w:val="a6"/>
        <w:ind w:firstLine="426"/>
        <w:rPr>
          <w:rFonts w:eastAsiaTheme="minorHAnsi"/>
          <w:lang w:val="uk-UA" w:eastAsia="en-US"/>
        </w:rPr>
      </w:pPr>
      <w:r w:rsidRPr="005E248B">
        <w:rPr>
          <w:rFonts w:eastAsiaTheme="minorHAnsi"/>
          <w:lang w:val="uk-UA" w:eastAsia="en-US"/>
        </w:rPr>
        <w:t>Бюлетені для голосування, видані акціонеру (представнику акціонера) за результатами проведеної реєстрації, засвідчуються підписом Голови Реєстраційної кoмiciї 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визнається недійсним у разі, якщо він відрізняється від офіційно виготовленого Товариством зразка.</w:t>
      </w:r>
    </w:p>
    <w:p w14:paraId="16A5228E" w14:textId="77777777" w:rsidR="00C257D4" w:rsidRPr="005E248B" w:rsidRDefault="00C257D4" w:rsidP="00C257D4">
      <w:pPr>
        <w:rPr>
          <w:sz w:val="20"/>
          <w:szCs w:val="20"/>
        </w:rPr>
      </w:pPr>
      <w:r w:rsidRPr="005E248B">
        <w:rPr>
          <w:sz w:val="20"/>
          <w:szCs w:val="20"/>
        </w:rPr>
        <w:tab/>
        <w:t>4. Розгляд звіту Виконавчого органу Товариства за 2020 рік. Прийняття рішення за наслідками розгляду; затвердження заходів за результатами такого розгляду.</w:t>
      </w:r>
    </w:p>
    <w:p w14:paraId="582B4E64" w14:textId="77777777" w:rsidR="00C257D4" w:rsidRPr="005E248B" w:rsidRDefault="00C257D4" w:rsidP="00C257D4">
      <w:pPr>
        <w:tabs>
          <w:tab w:val="left" w:pos="0"/>
          <w:tab w:val="left" w:pos="567"/>
        </w:tabs>
        <w:rPr>
          <w:sz w:val="20"/>
          <w:szCs w:val="20"/>
        </w:rPr>
      </w:pPr>
      <w:r w:rsidRPr="005E248B">
        <w:rPr>
          <w:b/>
          <w:i/>
          <w:sz w:val="20"/>
          <w:szCs w:val="20"/>
        </w:rPr>
        <w:tab/>
        <w:t xml:space="preserve">Проект рішення: </w:t>
      </w:r>
      <w:r w:rsidRPr="005E248B">
        <w:rPr>
          <w:sz w:val="20"/>
          <w:szCs w:val="20"/>
        </w:rPr>
        <w:t xml:space="preserve">Затвердити звіт Виконавчого органу Товариства  за 2020 рік. За наслідками розгляду звіту виконавчого органу за 2020 рік - роботу виконавчого органу Товариства  у звітному періоді визнати задовільною. Затвердити основні напрямки діяльності Товариства, перспективи  розвитку та основні заходи на 2021 рік. </w:t>
      </w:r>
    </w:p>
    <w:p w14:paraId="106B43FF" w14:textId="77777777" w:rsidR="00C257D4" w:rsidRPr="005E248B" w:rsidRDefault="00C257D4" w:rsidP="00C257D4">
      <w:pPr>
        <w:rPr>
          <w:sz w:val="20"/>
          <w:szCs w:val="20"/>
        </w:rPr>
      </w:pPr>
      <w:r w:rsidRPr="005E248B">
        <w:rPr>
          <w:sz w:val="20"/>
          <w:szCs w:val="20"/>
        </w:rPr>
        <w:tab/>
        <w:t>5. Розгляд звіту Наглядової ради Товариства за 2020 рік. Прийняття рішення за наслідками розгляду; затвердження заходів за результатами такого розгляду.</w:t>
      </w:r>
    </w:p>
    <w:p w14:paraId="7E1C562A" w14:textId="77777777" w:rsidR="00C257D4" w:rsidRPr="005E248B" w:rsidRDefault="00C257D4" w:rsidP="00C257D4">
      <w:pPr>
        <w:tabs>
          <w:tab w:val="left" w:pos="0"/>
          <w:tab w:val="left" w:pos="567"/>
        </w:tabs>
        <w:rPr>
          <w:sz w:val="20"/>
          <w:szCs w:val="20"/>
        </w:rPr>
      </w:pPr>
      <w:r w:rsidRPr="005E248B">
        <w:rPr>
          <w:b/>
          <w:i/>
          <w:sz w:val="20"/>
          <w:szCs w:val="20"/>
        </w:rPr>
        <w:tab/>
        <w:t xml:space="preserve">Проект рішення: </w:t>
      </w:r>
      <w:r w:rsidRPr="005E248B">
        <w:rPr>
          <w:sz w:val="20"/>
          <w:szCs w:val="20"/>
        </w:rPr>
        <w:t>Затвердити звіт Наглядової ради Товариства за 2020 рік. За наслідками розгляду звіту Наглядової ради за 2020 рік - роботу Наглядової ради Товариства у звітному періоді визнати задовільною. Затвердити основні заходи Наглядової ради на 2021 рік.</w:t>
      </w:r>
    </w:p>
    <w:p w14:paraId="202282DE" w14:textId="77777777" w:rsidR="00C257D4" w:rsidRPr="005E248B" w:rsidRDefault="00C257D4" w:rsidP="00C257D4">
      <w:pPr>
        <w:rPr>
          <w:sz w:val="20"/>
          <w:szCs w:val="20"/>
        </w:rPr>
      </w:pPr>
      <w:r w:rsidRPr="005E248B">
        <w:rPr>
          <w:sz w:val="20"/>
          <w:szCs w:val="20"/>
        </w:rPr>
        <w:tab/>
        <w:t>6. Розгляд звіту Ревізора Товариства за 2020 рік. Прийняття рішення за наслідками розгляду; затвердження заходів за результатами такого розгляду.</w:t>
      </w:r>
    </w:p>
    <w:p w14:paraId="670350FE" w14:textId="77777777" w:rsidR="00C257D4" w:rsidRPr="005E248B" w:rsidRDefault="00C257D4" w:rsidP="00C257D4">
      <w:pPr>
        <w:tabs>
          <w:tab w:val="left" w:pos="0"/>
          <w:tab w:val="left" w:pos="567"/>
        </w:tabs>
        <w:rPr>
          <w:sz w:val="20"/>
          <w:szCs w:val="20"/>
        </w:rPr>
      </w:pPr>
      <w:r w:rsidRPr="005E248B">
        <w:rPr>
          <w:b/>
          <w:i/>
          <w:sz w:val="20"/>
          <w:szCs w:val="20"/>
        </w:rPr>
        <w:tab/>
        <w:t xml:space="preserve">Проект рішення: </w:t>
      </w:r>
      <w:r w:rsidRPr="005E248B">
        <w:rPr>
          <w:sz w:val="20"/>
          <w:szCs w:val="20"/>
        </w:rPr>
        <w:t>Затвердити звіт та висновки Ревізора Товариства за 2020 року. За наслідками розгляду звіту та висновків Ревізора за 2020 рік - роботу Ревізора Товариства у звітному періоді визнати задовільною. Затвердити основні заходи діяльності Ревізора на 2021 рік.</w:t>
      </w:r>
    </w:p>
    <w:p w14:paraId="05471205" w14:textId="77777777" w:rsidR="00C257D4" w:rsidRPr="005E248B" w:rsidRDefault="00C257D4" w:rsidP="00C257D4">
      <w:pPr>
        <w:pStyle w:val="a5"/>
        <w:tabs>
          <w:tab w:val="left" w:pos="0"/>
        </w:tabs>
        <w:spacing w:after="0" w:line="240" w:lineRule="auto"/>
        <w:ind w:left="0"/>
        <w:rPr>
          <w:rFonts w:ascii="Times New Roman" w:eastAsiaTheme="minorHAnsi" w:hAnsi="Times New Roman"/>
          <w:sz w:val="20"/>
          <w:szCs w:val="20"/>
          <w:lang w:val="uk-UA"/>
        </w:rPr>
      </w:pPr>
      <w:r w:rsidRPr="005E248B">
        <w:rPr>
          <w:rFonts w:ascii="Times New Roman" w:eastAsiaTheme="minorHAnsi" w:hAnsi="Times New Roman"/>
          <w:sz w:val="20"/>
          <w:szCs w:val="20"/>
          <w:lang w:val="uk-UA"/>
        </w:rPr>
        <w:tab/>
        <w:t xml:space="preserve">7. Затвердження річного звіту Товариства за </w:t>
      </w:r>
      <w:r w:rsidRPr="005E248B">
        <w:rPr>
          <w:rFonts w:ascii="Times New Roman" w:hAnsi="Times New Roman"/>
          <w:sz w:val="20"/>
          <w:szCs w:val="20"/>
          <w:lang w:val="uk-UA"/>
        </w:rPr>
        <w:t xml:space="preserve">2020 </w:t>
      </w:r>
      <w:r w:rsidRPr="005E248B">
        <w:rPr>
          <w:rFonts w:ascii="Times New Roman" w:eastAsiaTheme="minorHAnsi" w:hAnsi="Times New Roman"/>
          <w:sz w:val="20"/>
          <w:szCs w:val="20"/>
          <w:lang w:val="uk-UA"/>
        </w:rPr>
        <w:t>рік.</w:t>
      </w:r>
    </w:p>
    <w:p w14:paraId="128AF2F5" w14:textId="77777777" w:rsidR="00C257D4" w:rsidRPr="005E248B" w:rsidRDefault="00C257D4" w:rsidP="00C257D4">
      <w:pPr>
        <w:tabs>
          <w:tab w:val="left" w:pos="0"/>
          <w:tab w:val="left" w:pos="567"/>
        </w:tabs>
        <w:rPr>
          <w:sz w:val="20"/>
          <w:szCs w:val="20"/>
        </w:rPr>
      </w:pPr>
      <w:r w:rsidRPr="005E248B">
        <w:rPr>
          <w:sz w:val="20"/>
          <w:szCs w:val="20"/>
        </w:rPr>
        <w:tab/>
      </w:r>
      <w:r w:rsidRPr="005E248B">
        <w:rPr>
          <w:sz w:val="20"/>
          <w:szCs w:val="20"/>
        </w:rPr>
        <w:tab/>
      </w:r>
      <w:r w:rsidRPr="005E248B">
        <w:rPr>
          <w:b/>
          <w:i/>
          <w:sz w:val="20"/>
          <w:szCs w:val="20"/>
        </w:rPr>
        <w:t xml:space="preserve">Проект рішення: </w:t>
      </w:r>
      <w:r w:rsidRPr="005E248B">
        <w:rPr>
          <w:sz w:val="20"/>
          <w:szCs w:val="20"/>
        </w:rPr>
        <w:t>Затвердити річний звіт Товариства  за 2020 рік.</w:t>
      </w:r>
    </w:p>
    <w:p w14:paraId="779749C3" w14:textId="77777777" w:rsidR="00C257D4" w:rsidRPr="005E248B" w:rsidRDefault="00C257D4" w:rsidP="00C257D4">
      <w:pPr>
        <w:ind w:firstLine="708"/>
        <w:rPr>
          <w:sz w:val="20"/>
          <w:szCs w:val="20"/>
        </w:rPr>
      </w:pPr>
      <w:r w:rsidRPr="005E248B">
        <w:rPr>
          <w:sz w:val="20"/>
          <w:szCs w:val="20"/>
        </w:rPr>
        <w:t>8. Розподіл прибутку, прийняття рішення про виплату дивідендів та їх розмір з урахуванням вимог законодавства України.</w:t>
      </w:r>
    </w:p>
    <w:p w14:paraId="01F5B6DA" w14:textId="77777777" w:rsidR="00C257D4" w:rsidRPr="00327AF9" w:rsidRDefault="00C257D4" w:rsidP="00C257D4">
      <w:pPr>
        <w:tabs>
          <w:tab w:val="left" w:pos="0"/>
          <w:tab w:val="left" w:pos="567"/>
        </w:tabs>
        <w:rPr>
          <w:sz w:val="20"/>
          <w:szCs w:val="20"/>
        </w:rPr>
      </w:pPr>
      <w:r w:rsidRPr="005E248B">
        <w:rPr>
          <w:b/>
          <w:i/>
          <w:sz w:val="20"/>
          <w:szCs w:val="20"/>
        </w:rPr>
        <w:tab/>
        <w:t xml:space="preserve">Проект рішення: </w:t>
      </w:r>
      <w:r w:rsidRPr="00327AF9">
        <w:rPr>
          <w:sz w:val="20"/>
          <w:szCs w:val="20"/>
        </w:rPr>
        <w:t>Не виплачувати дивіденди по простих акціях за минулий 2020 рік та спрямувати суму чистого прибутку, що залишився, на розвиток діяльності Товариства. Виплатити дивіденди по привілейованим акціям у розмірі 5 відсотків до їх номінальної вартості від розміру одержаного Товариством прибутку у відповідному році за рахунок резервного фонду.</w:t>
      </w:r>
    </w:p>
    <w:p w14:paraId="4A748A28" w14:textId="77777777" w:rsidR="00C257D4" w:rsidRPr="005E248B" w:rsidRDefault="00C257D4" w:rsidP="00C257D4">
      <w:pPr>
        <w:tabs>
          <w:tab w:val="left" w:pos="0"/>
          <w:tab w:val="left" w:pos="567"/>
        </w:tabs>
        <w:rPr>
          <w:sz w:val="20"/>
          <w:szCs w:val="20"/>
        </w:rPr>
      </w:pPr>
      <w:r w:rsidRPr="00327AF9">
        <w:rPr>
          <w:sz w:val="20"/>
          <w:szCs w:val="20"/>
        </w:rPr>
        <w:t xml:space="preserve">         Визначити спосіб виплати дивідендів: безпосередньо акціонерам. Дивіденди виплатити у строк, що не перевищує 6 місяців з дня прийняття загальними зборами рішення про виплату дивідендів, тобто граничним строком виплати дивідендів встановити 21.10.2021 року. Запропоновано також скликати засідання Наглядової ради, на якому має бути прийняте рішення про дату складення перелiку осiб, якi мають право на отримання дивiдендiв, та затверджено порядок виплати дивідендів і строк їх виплати</w:t>
      </w:r>
    </w:p>
    <w:p w14:paraId="73E50CE1" w14:textId="77777777" w:rsidR="00C257D4" w:rsidRPr="005E248B" w:rsidRDefault="00C257D4" w:rsidP="00C257D4">
      <w:pPr>
        <w:ind w:firstLine="708"/>
        <w:rPr>
          <w:sz w:val="20"/>
          <w:szCs w:val="20"/>
        </w:rPr>
      </w:pPr>
      <w:r w:rsidRPr="005E248B">
        <w:rPr>
          <w:sz w:val="20"/>
          <w:szCs w:val="20"/>
        </w:rPr>
        <w:t>9. Внесення змін до видів економічної діяльності Товариства та внесення відповідних змін щодо видів економічної діяльності Товариства до Єдиного  державного  реєстру  юридичних осіб, фізичних осіб-підприємців та громадських формувань.</w:t>
      </w:r>
    </w:p>
    <w:p w14:paraId="352BF73E" w14:textId="77777777" w:rsidR="00C257D4" w:rsidRDefault="00C257D4" w:rsidP="00C257D4">
      <w:pPr>
        <w:ind w:firstLine="708"/>
        <w:rPr>
          <w:sz w:val="20"/>
          <w:szCs w:val="20"/>
        </w:rPr>
      </w:pPr>
      <w:r w:rsidRPr="005E248B">
        <w:rPr>
          <w:b/>
          <w:i/>
          <w:sz w:val="20"/>
          <w:szCs w:val="20"/>
        </w:rPr>
        <w:t>Проект рішення:</w:t>
      </w:r>
      <w:r w:rsidRPr="005E248B">
        <w:rPr>
          <w:sz w:val="20"/>
          <w:szCs w:val="20"/>
        </w:rPr>
        <w:t xml:space="preserve"> Внести зміни до видів економічної діяльності Товариства та внести відповідні зміни щодо видів економічної діяльності Товариства до Єдиного  державного  реєстру  юридичних осіб, фізичних осіб-підприємців </w:t>
      </w:r>
      <w:r w:rsidRPr="005E248B">
        <w:rPr>
          <w:sz w:val="20"/>
          <w:szCs w:val="20"/>
        </w:rPr>
        <w:lastRenderedPageBreak/>
        <w:t>та громадських формувань. Особа, відповідальна за внесення відповідних змін – Голова Правління Товариства Литвиненко Андрій Леонідович.</w:t>
      </w:r>
    </w:p>
    <w:p w14:paraId="72B8E7C0" w14:textId="77777777" w:rsidR="00C257D4" w:rsidRPr="005E248B" w:rsidRDefault="00C257D4" w:rsidP="00C257D4">
      <w:pPr>
        <w:tabs>
          <w:tab w:val="left" w:pos="0"/>
          <w:tab w:val="left" w:pos="567"/>
        </w:tabs>
        <w:rPr>
          <w:sz w:val="20"/>
          <w:szCs w:val="20"/>
        </w:rPr>
      </w:pPr>
      <w:r>
        <w:rPr>
          <w:sz w:val="20"/>
          <w:szCs w:val="20"/>
        </w:rPr>
        <w:t xml:space="preserve">            </w:t>
      </w:r>
      <w:r w:rsidRPr="005E248B">
        <w:rPr>
          <w:sz w:val="20"/>
          <w:szCs w:val="20"/>
        </w:rPr>
        <w:t>1</w:t>
      </w:r>
      <w:r>
        <w:rPr>
          <w:sz w:val="20"/>
          <w:szCs w:val="20"/>
        </w:rPr>
        <w:t>0</w:t>
      </w:r>
      <w:r w:rsidRPr="005E248B">
        <w:rPr>
          <w:sz w:val="20"/>
          <w:szCs w:val="20"/>
        </w:rPr>
        <w:t>.  Надання дозволу загальних зборів акціонерів ПРАТ  "Професіонал" на будівництво  ТОВ "Професіонал логістик плюс" зернового елеваторного комплексу загальною місткістю одночасного зберігання до 75 тис.тон на землях ПРАТ</w:t>
      </w:r>
      <w:r>
        <w:rPr>
          <w:sz w:val="20"/>
          <w:szCs w:val="20"/>
        </w:rPr>
        <w:t xml:space="preserve"> «Професіонал».</w:t>
      </w:r>
      <w:r w:rsidRPr="005E248B">
        <w:rPr>
          <w:sz w:val="20"/>
          <w:szCs w:val="20"/>
        </w:rPr>
        <w:t>.</w:t>
      </w:r>
    </w:p>
    <w:p w14:paraId="3A9FB5F9" w14:textId="77777777" w:rsidR="00C257D4" w:rsidRDefault="00C257D4" w:rsidP="00C257D4">
      <w:pPr>
        <w:tabs>
          <w:tab w:val="left" w:pos="0"/>
          <w:tab w:val="left" w:pos="567"/>
        </w:tabs>
        <w:rPr>
          <w:sz w:val="20"/>
          <w:szCs w:val="20"/>
        </w:rPr>
      </w:pPr>
      <w:r w:rsidRPr="005E248B">
        <w:rPr>
          <w:b/>
          <w:i/>
          <w:sz w:val="20"/>
          <w:szCs w:val="20"/>
        </w:rPr>
        <w:tab/>
        <w:t>Проект рішення:</w:t>
      </w:r>
      <w:r w:rsidRPr="005E248B">
        <w:rPr>
          <w:sz w:val="20"/>
          <w:szCs w:val="20"/>
        </w:rPr>
        <w:t xml:space="preserve"> Надати дозвіл загальних зборів акціонерів ПРАТ  "Професіонал" на будівництво  ТОВ "Професіонал логістик плюс" зернового елеваторного комплексу загальною місткістю одночасного зберігання до 75 тис.тон на землях ПРАТ</w:t>
      </w:r>
      <w:r>
        <w:rPr>
          <w:sz w:val="20"/>
          <w:szCs w:val="20"/>
        </w:rPr>
        <w:t xml:space="preserve"> «Професіонал»</w:t>
      </w:r>
      <w:r w:rsidRPr="005E248B">
        <w:rPr>
          <w:sz w:val="20"/>
          <w:szCs w:val="20"/>
        </w:rPr>
        <w:t>.</w:t>
      </w:r>
    </w:p>
    <w:p w14:paraId="1C14E9CD" w14:textId="77777777" w:rsidR="00C257D4" w:rsidRPr="005E248B" w:rsidRDefault="00C257D4" w:rsidP="00C257D4">
      <w:pPr>
        <w:tabs>
          <w:tab w:val="left" w:pos="0"/>
          <w:tab w:val="left" w:pos="567"/>
        </w:tabs>
        <w:rPr>
          <w:sz w:val="20"/>
          <w:szCs w:val="20"/>
        </w:rPr>
      </w:pPr>
      <w:r>
        <w:rPr>
          <w:sz w:val="20"/>
          <w:szCs w:val="20"/>
        </w:rPr>
        <w:t xml:space="preserve">             </w:t>
      </w:r>
      <w:r w:rsidRPr="005E248B">
        <w:rPr>
          <w:sz w:val="20"/>
          <w:szCs w:val="20"/>
        </w:rPr>
        <w:t>1</w:t>
      </w:r>
      <w:r>
        <w:rPr>
          <w:sz w:val="20"/>
          <w:szCs w:val="20"/>
        </w:rPr>
        <w:t>1</w:t>
      </w:r>
      <w:r w:rsidRPr="005E248B">
        <w:rPr>
          <w:sz w:val="20"/>
          <w:szCs w:val="20"/>
        </w:rPr>
        <w:t>. Розгляд питання щодо розробки проекту по розмежуванню земельних ділянок та основних засобів під будівництво  зернового елеваторного комплексу загальною місткістю одночасного зберігання до 75 тис.тон.</w:t>
      </w:r>
    </w:p>
    <w:p w14:paraId="695A16DE" w14:textId="77777777" w:rsidR="00C257D4" w:rsidRDefault="00C257D4" w:rsidP="00C257D4">
      <w:pPr>
        <w:tabs>
          <w:tab w:val="left" w:pos="0"/>
          <w:tab w:val="left" w:pos="567"/>
        </w:tabs>
        <w:rPr>
          <w:sz w:val="20"/>
          <w:szCs w:val="20"/>
        </w:rPr>
      </w:pPr>
      <w:r w:rsidRPr="005E248B">
        <w:rPr>
          <w:b/>
          <w:i/>
          <w:sz w:val="20"/>
          <w:szCs w:val="20"/>
        </w:rPr>
        <w:tab/>
        <w:t xml:space="preserve">Проект рішення: </w:t>
      </w:r>
      <w:r w:rsidRPr="005E248B">
        <w:rPr>
          <w:sz w:val="20"/>
          <w:szCs w:val="20"/>
        </w:rPr>
        <w:t>Розробити проект по розмежуванню земельних ділянок та основних засобів під будівництво  зернового елеваторного комплексу загальною місткістю одночасного зберігання до 75 тис.тон. Особою, відповідальною за розробку проекту призначити Голову Правління Товариства Литвиненка Андрія Леонідовича.</w:t>
      </w:r>
    </w:p>
    <w:p w14:paraId="402C21BC" w14:textId="77777777" w:rsidR="00C257D4" w:rsidRPr="005E248B" w:rsidRDefault="00C257D4" w:rsidP="00C257D4">
      <w:pPr>
        <w:tabs>
          <w:tab w:val="left" w:pos="0"/>
          <w:tab w:val="left" w:pos="567"/>
        </w:tabs>
        <w:rPr>
          <w:sz w:val="20"/>
          <w:szCs w:val="20"/>
        </w:rPr>
      </w:pPr>
      <w:r>
        <w:rPr>
          <w:b/>
          <w:i/>
          <w:sz w:val="20"/>
          <w:szCs w:val="20"/>
        </w:rPr>
        <w:t xml:space="preserve">         </w:t>
      </w:r>
      <w:r>
        <w:rPr>
          <w:sz w:val="20"/>
          <w:szCs w:val="20"/>
        </w:rPr>
        <w:t xml:space="preserve">    </w:t>
      </w:r>
      <w:r w:rsidRPr="005E248B">
        <w:rPr>
          <w:sz w:val="20"/>
          <w:szCs w:val="20"/>
        </w:rPr>
        <w:t>1</w:t>
      </w:r>
      <w:r>
        <w:rPr>
          <w:sz w:val="20"/>
          <w:szCs w:val="20"/>
        </w:rPr>
        <w:t>2</w:t>
      </w:r>
      <w:r w:rsidRPr="005E248B">
        <w:rPr>
          <w:sz w:val="20"/>
          <w:szCs w:val="20"/>
        </w:rPr>
        <w:t xml:space="preserve">. </w:t>
      </w:r>
      <w:r w:rsidRPr="005E3C38">
        <w:rPr>
          <w:sz w:val="20"/>
          <w:szCs w:val="20"/>
        </w:rPr>
        <w:t>Про попереднє надання згоди на вчинення Товариством значних правочинів, якi можуть вчинятись Товариством протягом не бiльш як одного року з дати прийняття такого рiшення</w:t>
      </w:r>
      <w:r>
        <w:rPr>
          <w:sz w:val="20"/>
          <w:szCs w:val="20"/>
        </w:rPr>
        <w:t>:</w:t>
      </w:r>
      <w:r>
        <w:rPr>
          <w:sz w:val="20"/>
          <w:szCs w:val="20"/>
        </w:rPr>
        <w:br/>
        <w:t>В</w:t>
      </w:r>
      <w:r w:rsidRPr="005E248B">
        <w:rPr>
          <w:sz w:val="20"/>
          <w:szCs w:val="20"/>
        </w:rPr>
        <w:t xml:space="preserve">икуп земельних ділянок:  </w:t>
      </w:r>
    </w:p>
    <w:p w14:paraId="7816F007" w14:textId="77777777" w:rsidR="00C257D4" w:rsidRPr="005E248B" w:rsidRDefault="00C257D4" w:rsidP="00C257D4">
      <w:pPr>
        <w:tabs>
          <w:tab w:val="left" w:pos="0"/>
          <w:tab w:val="left" w:pos="567"/>
        </w:tabs>
        <w:rPr>
          <w:sz w:val="20"/>
          <w:szCs w:val="20"/>
        </w:rPr>
      </w:pPr>
      <w:r w:rsidRPr="005E248B">
        <w:rPr>
          <w:sz w:val="20"/>
          <w:szCs w:val="20"/>
        </w:rPr>
        <w:t>- кадастров</w:t>
      </w:r>
      <w:r>
        <w:rPr>
          <w:sz w:val="20"/>
          <w:szCs w:val="20"/>
        </w:rPr>
        <w:t>и</w:t>
      </w:r>
      <w:r w:rsidRPr="005E248B">
        <w:rPr>
          <w:sz w:val="20"/>
          <w:szCs w:val="20"/>
        </w:rPr>
        <w:t>й номер 5122755400:01:002:0185, площа 2,87 га;</w:t>
      </w:r>
    </w:p>
    <w:p w14:paraId="2303285E" w14:textId="77777777" w:rsidR="00C257D4" w:rsidRPr="005E248B" w:rsidRDefault="00C257D4" w:rsidP="00C257D4">
      <w:pPr>
        <w:tabs>
          <w:tab w:val="left" w:pos="0"/>
          <w:tab w:val="left" w:pos="567"/>
        </w:tabs>
        <w:rPr>
          <w:sz w:val="20"/>
          <w:szCs w:val="20"/>
        </w:rPr>
      </w:pPr>
      <w:r w:rsidRPr="005E248B">
        <w:rPr>
          <w:sz w:val="20"/>
          <w:szCs w:val="20"/>
        </w:rPr>
        <w:t>- кадастров</w:t>
      </w:r>
      <w:r>
        <w:rPr>
          <w:sz w:val="20"/>
          <w:szCs w:val="20"/>
        </w:rPr>
        <w:t>и</w:t>
      </w:r>
      <w:r w:rsidRPr="005E248B">
        <w:rPr>
          <w:sz w:val="20"/>
          <w:szCs w:val="20"/>
        </w:rPr>
        <w:t>й номер 5122755400:01:002:0111,  площа 1,2142 га.</w:t>
      </w:r>
    </w:p>
    <w:p w14:paraId="4B30604F" w14:textId="77777777" w:rsidR="00C257D4" w:rsidRPr="005E248B" w:rsidRDefault="00C257D4" w:rsidP="00C257D4">
      <w:pPr>
        <w:tabs>
          <w:tab w:val="left" w:pos="0"/>
          <w:tab w:val="left" w:pos="567"/>
        </w:tabs>
        <w:rPr>
          <w:sz w:val="20"/>
          <w:szCs w:val="20"/>
        </w:rPr>
      </w:pPr>
      <w:r w:rsidRPr="005E248B">
        <w:rPr>
          <w:b/>
          <w:i/>
          <w:sz w:val="20"/>
          <w:szCs w:val="20"/>
        </w:rPr>
        <w:tab/>
        <w:t>Проект рішення:</w:t>
      </w:r>
      <w:r w:rsidRPr="005E248B">
        <w:rPr>
          <w:sz w:val="20"/>
          <w:szCs w:val="20"/>
        </w:rPr>
        <w:t xml:space="preserve"> </w:t>
      </w:r>
      <w:r w:rsidRPr="005E3C38">
        <w:rPr>
          <w:sz w:val="20"/>
          <w:szCs w:val="20"/>
        </w:rPr>
        <w:t>попереднє надання згоди на вчинення Товариством значних правочинів, якi можуть вчинятись Товариством протягом не бiльш як одного року з дати прийняття такого рiшення, в тому числi правочинів, пов’язаних з укладенням кредитних договорів, договорів  поруки , договорів застави майна  , взяття позик та кредитів в банках або кредитних спілках під заставу будь-якого майна Товариства, та/або пролонгацiю та/або внесення змiн до умов: депозитних договорiв, договорiв про надання або отримання фiнансових позик, в тому числi спiвробiтникам Товариства, договорiв придбання та вiдчуження обладнання, договорiв придбання та вiдчуження будь-якого рухомого та нерухомого майна Товариства, договорiв оренди нерухомого майна, договорiв найму (оренди) автотранспортних засобiв, договорiв вiдступлення права вимоги, договорiв придбання/продажу сировини, матерiалiв, товарiв, робiт, послуг тощо; правочинiв пов’язаних з укладенням мирових угод, договорiв про внесення змiн та доповнень до цих договорiв. Гранічна сукупна вартість правочинів визначається на рівні </w:t>
      </w:r>
      <w:r>
        <w:rPr>
          <w:sz w:val="20"/>
          <w:szCs w:val="20"/>
        </w:rPr>
        <w:t>7000000,00 г</w:t>
      </w:r>
      <w:r w:rsidRPr="005E3C38">
        <w:rPr>
          <w:sz w:val="20"/>
          <w:szCs w:val="20"/>
        </w:rPr>
        <w:t>рн. Розглянути питання щодо надання повноважень </w:t>
      </w:r>
      <w:r>
        <w:rPr>
          <w:sz w:val="20"/>
          <w:szCs w:val="20"/>
        </w:rPr>
        <w:t>Голови правління ПрАТ «Професіонал»</w:t>
      </w:r>
      <w:r w:rsidRPr="005E3C38">
        <w:rPr>
          <w:sz w:val="20"/>
          <w:szCs w:val="20"/>
        </w:rPr>
        <w:t>   на вчинення всіх вищевказаних дій.</w:t>
      </w:r>
      <w:r>
        <w:rPr>
          <w:sz w:val="20"/>
          <w:szCs w:val="20"/>
        </w:rPr>
        <w:br/>
        <w:t>Затвердити</w:t>
      </w:r>
      <w:r w:rsidRPr="005E248B">
        <w:rPr>
          <w:sz w:val="20"/>
          <w:szCs w:val="20"/>
        </w:rPr>
        <w:t xml:space="preserve"> рішення про викуп земельних ділянок:</w:t>
      </w:r>
    </w:p>
    <w:p w14:paraId="19EB9F74" w14:textId="77777777" w:rsidR="00C257D4" w:rsidRPr="005E248B" w:rsidRDefault="00C257D4" w:rsidP="00C257D4">
      <w:pPr>
        <w:tabs>
          <w:tab w:val="left" w:pos="0"/>
          <w:tab w:val="left" w:pos="567"/>
        </w:tabs>
        <w:rPr>
          <w:sz w:val="20"/>
          <w:szCs w:val="20"/>
        </w:rPr>
      </w:pPr>
      <w:r w:rsidRPr="005E248B">
        <w:rPr>
          <w:sz w:val="20"/>
          <w:szCs w:val="20"/>
        </w:rPr>
        <w:t>- кадастров</w:t>
      </w:r>
      <w:r>
        <w:rPr>
          <w:sz w:val="20"/>
          <w:szCs w:val="20"/>
        </w:rPr>
        <w:t>и</w:t>
      </w:r>
      <w:r w:rsidRPr="005E248B">
        <w:rPr>
          <w:sz w:val="20"/>
          <w:szCs w:val="20"/>
        </w:rPr>
        <w:t>й номер 5122755400:01:002:0185, площа 2,87 га;</w:t>
      </w:r>
    </w:p>
    <w:p w14:paraId="7F50D611" w14:textId="77777777" w:rsidR="00C257D4" w:rsidRPr="005E248B" w:rsidRDefault="00C257D4" w:rsidP="00C257D4">
      <w:pPr>
        <w:tabs>
          <w:tab w:val="left" w:pos="0"/>
          <w:tab w:val="left" w:pos="567"/>
        </w:tabs>
        <w:rPr>
          <w:sz w:val="20"/>
          <w:szCs w:val="20"/>
        </w:rPr>
      </w:pPr>
      <w:r w:rsidRPr="005E248B">
        <w:rPr>
          <w:sz w:val="20"/>
          <w:szCs w:val="20"/>
        </w:rPr>
        <w:t>- кадастров</w:t>
      </w:r>
      <w:r>
        <w:rPr>
          <w:sz w:val="20"/>
          <w:szCs w:val="20"/>
        </w:rPr>
        <w:t>и</w:t>
      </w:r>
      <w:r w:rsidRPr="005E248B">
        <w:rPr>
          <w:sz w:val="20"/>
          <w:szCs w:val="20"/>
        </w:rPr>
        <w:t>й номер 5122755400:01:002:0111,  площа 1,2142 га</w:t>
      </w:r>
    </w:p>
    <w:p w14:paraId="21694D31" w14:textId="5617A488" w:rsidR="001B612D" w:rsidRPr="006D6904" w:rsidRDefault="00C257D4" w:rsidP="00C257D4">
      <w:pPr>
        <w:tabs>
          <w:tab w:val="left" w:pos="0"/>
          <w:tab w:val="left" w:pos="567"/>
        </w:tabs>
        <w:rPr>
          <w:sz w:val="22"/>
          <w:szCs w:val="22"/>
        </w:rPr>
      </w:pPr>
      <w:r w:rsidRPr="005E248B">
        <w:rPr>
          <w:sz w:val="20"/>
          <w:szCs w:val="20"/>
        </w:rPr>
        <w:tab/>
        <w:t xml:space="preserve">з метою </w:t>
      </w:r>
      <w:r w:rsidRPr="00F31661">
        <w:rPr>
          <w:sz w:val="20"/>
          <w:szCs w:val="20"/>
        </w:rPr>
        <w:t>подальшого продажу  земель</w:t>
      </w:r>
      <w:r>
        <w:rPr>
          <w:sz w:val="20"/>
          <w:szCs w:val="20"/>
        </w:rPr>
        <w:t xml:space="preserve">ної ділянки </w:t>
      </w:r>
      <w:r w:rsidRPr="005E248B">
        <w:rPr>
          <w:sz w:val="20"/>
          <w:szCs w:val="20"/>
        </w:rPr>
        <w:t xml:space="preserve"> кадастров</w:t>
      </w:r>
      <w:r>
        <w:rPr>
          <w:sz w:val="20"/>
          <w:szCs w:val="20"/>
        </w:rPr>
        <w:t>и</w:t>
      </w:r>
      <w:r w:rsidRPr="005E248B">
        <w:rPr>
          <w:sz w:val="20"/>
          <w:szCs w:val="20"/>
        </w:rPr>
        <w:t xml:space="preserve">й номер 5122755400:01:002:0111,  площа 1,2142 </w:t>
      </w:r>
      <w:r w:rsidRPr="002A0470">
        <w:rPr>
          <w:sz w:val="20"/>
          <w:szCs w:val="20"/>
        </w:rPr>
        <w:t xml:space="preserve">га  та частини земельної  </w:t>
      </w:r>
      <w:r w:rsidRPr="005E248B">
        <w:rPr>
          <w:sz w:val="20"/>
          <w:szCs w:val="20"/>
        </w:rPr>
        <w:t>кадастров</w:t>
      </w:r>
      <w:r>
        <w:rPr>
          <w:sz w:val="20"/>
          <w:szCs w:val="20"/>
        </w:rPr>
        <w:t>и</w:t>
      </w:r>
      <w:r w:rsidRPr="005E248B">
        <w:rPr>
          <w:sz w:val="20"/>
          <w:szCs w:val="20"/>
        </w:rPr>
        <w:t>й номер 5122755400:01:002:0185, площа 2,87 га</w:t>
      </w:r>
      <w:r>
        <w:rPr>
          <w:sz w:val="20"/>
          <w:szCs w:val="20"/>
        </w:rPr>
        <w:t xml:space="preserve"> приблизно в розмірі 0,9 га ТОВ «Професіонал логістик плюс» після размежування земельних ділянок ділянок та основних засобів </w:t>
      </w:r>
    </w:p>
    <w:sectPr w:rsidR="001B612D" w:rsidRPr="006D6904" w:rsidSect="00F35BC9">
      <w:pgSz w:w="11906" w:h="16838"/>
      <w:pgMar w:top="993" w:right="567" w:bottom="39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E2485"/>
    <w:rsid w:val="00064C70"/>
    <w:rsid w:val="000E2485"/>
    <w:rsid w:val="001B612D"/>
    <w:rsid w:val="0039799F"/>
    <w:rsid w:val="005F29B6"/>
    <w:rsid w:val="006D6904"/>
    <w:rsid w:val="00705315"/>
    <w:rsid w:val="007A304F"/>
    <w:rsid w:val="00803B45"/>
    <w:rsid w:val="00B85D76"/>
    <w:rsid w:val="00C257D4"/>
    <w:rsid w:val="00C61AD8"/>
    <w:rsid w:val="00D57B65"/>
    <w:rsid w:val="00D60CB1"/>
    <w:rsid w:val="00DA1508"/>
    <w:rsid w:val="00E450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0385"/>
  <w15:docId w15:val="{F67C9952-F881-4FDE-9897-A2F83F43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8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E2485"/>
    <w:pPr>
      <w:spacing w:after="0" w:line="240" w:lineRule="auto"/>
      <w:jc w:val="both"/>
    </w:pPr>
    <w:rPr>
      <w:rFonts w:ascii="Calibri" w:eastAsia="Times New Roman" w:hAnsi="Calibri" w:cs="Times New Roman"/>
    </w:rPr>
  </w:style>
  <w:style w:type="paragraph" w:styleId="a4">
    <w:name w:val="Normal (Web)"/>
    <w:basedOn w:val="a"/>
    <w:rsid w:val="000E2485"/>
    <w:pPr>
      <w:spacing w:before="100" w:beforeAutospacing="1" w:after="100" w:afterAutospacing="1"/>
    </w:pPr>
    <w:rPr>
      <w:lang w:val="ru-RU"/>
    </w:rPr>
  </w:style>
  <w:style w:type="paragraph" w:styleId="a5">
    <w:name w:val="List Paragraph"/>
    <w:basedOn w:val="a"/>
    <w:qFormat/>
    <w:rsid w:val="000E2485"/>
    <w:pPr>
      <w:spacing w:after="200" w:line="276" w:lineRule="auto"/>
      <w:ind w:left="720"/>
      <w:contextualSpacing/>
    </w:pPr>
    <w:rPr>
      <w:rFonts w:ascii="Calibri" w:eastAsia="Calibri" w:hAnsi="Calibri"/>
      <w:sz w:val="22"/>
      <w:szCs w:val="22"/>
      <w:lang w:val="ru-RU" w:eastAsia="en-US"/>
    </w:rPr>
  </w:style>
  <w:style w:type="paragraph" w:customStyle="1" w:styleId="a6">
    <w:name w:val="Об"/>
    <w:rsid w:val="000E248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0E2485"/>
    <w:pPr>
      <w:spacing w:after="0" w:line="240" w:lineRule="auto"/>
    </w:pPr>
    <w:rPr>
      <w:rFonts w:ascii="Times New Roman" w:eastAsia="Times New Roman" w:hAnsi="Times New Roman" w:cs="Times New Roman"/>
      <w:sz w:val="24"/>
      <w:szCs w:val="20"/>
      <w:lang w:eastAsia="ru-RU"/>
    </w:rPr>
  </w:style>
  <w:style w:type="paragraph" w:styleId="a7">
    <w:name w:val="Plain Text"/>
    <w:basedOn w:val="a"/>
    <w:link w:val="a8"/>
    <w:rsid w:val="00C61AD8"/>
    <w:rPr>
      <w:rFonts w:ascii="Courier New" w:hAnsi="Courier New" w:cs="Courier New"/>
      <w:sz w:val="20"/>
      <w:szCs w:val="20"/>
      <w:lang w:val="ru-RU"/>
    </w:rPr>
  </w:style>
  <w:style w:type="character" w:customStyle="1" w:styleId="a8">
    <w:name w:val="Текст Знак"/>
    <w:basedOn w:val="a0"/>
    <w:link w:val="a7"/>
    <w:rsid w:val="00C61AD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1302</Words>
  <Characters>7423</Characters>
  <Application>Microsoft Office Word</Application>
  <DocSecurity>0</DocSecurity>
  <Lines>61</Lines>
  <Paragraphs>17</Paragraphs>
  <ScaleCrop>false</ScaleCrop>
  <Company>Reanimator Extreme Edition</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Пользователь</cp:lastModifiedBy>
  <cp:revision>8</cp:revision>
  <dcterms:created xsi:type="dcterms:W3CDTF">2020-02-19T19:36:00Z</dcterms:created>
  <dcterms:modified xsi:type="dcterms:W3CDTF">2021-03-15T18:15:00Z</dcterms:modified>
</cp:coreProperties>
</file>